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黎苗徽章、手提袋、文创伴手礼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少数民族智慧的结合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在近期举办的</w:t>
      </w:r>
      <w:bookmarkStart w:id="0" w:name="_Hlk172040801"/>
      <w:r>
        <w:rPr>
          <w:rFonts w:hint="eastAsia" w:ascii="仿宋" w:hAnsi="仿宋" w:eastAsia="仿宋" w:cs="仿宋"/>
          <w:sz w:val="32"/>
          <w:szCs w:val="32"/>
        </w:rPr>
        <w:t>第九届全球城市旅游振兴机构论坛</w:t>
      </w:r>
      <w:bookmarkEnd w:id="0"/>
      <w:r>
        <w:rPr>
          <w:rFonts w:hint="eastAsia" w:ascii="仿宋" w:hAnsi="仿宋" w:eastAsia="仿宋" w:cs="仿宋"/>
          <w:sz w:val="32"/>
          <w:szCs w:val="32"/>
        </w:rPr>
        <w:t>上，一系列精心打造的文创伴手礼惊艳亮相，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吸引了众多与会者的眼光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伴手礼中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徽章作为文化的微观载体，凝聚着民族的精神与记忆。其设计巧妙地融入了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</w:rPr>
        <w:t>少数民族寓意美好象征的图纹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和三亚地标性风景区图纹</w:t>
      </w:r>
      <w:r>
        <w:rPr>
          <w:rFonts w:hint="eastAsia" w:ascii="仿宋" w:hAnsi="仿宋" w:eastAsia="仿宋" w:cs="仿宋"/>
          <w:sz w:val="32"/>
          <w:szCs w:val="32"/>
        </w:rPr>
        <w:t>，诉说着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</w:rPr>
        <w:t>古老的故事，传递着民族的智慧与情感。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30480</wp:posOffset>
            </wp:positionV>
            <wp:extent cx="3948430" cy="2700655"/>
            <wp:effectExtent l="0" t="0" r="4445" b="4445"/>
            <wp:wrapTopAndBottom/>
            <wp:docPr id="1" name="图片 1" descr="05f7c8e431ac4cf7c74bbc4b171f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f7c8e431ac4cf7c74bbc4b171fa37"/>
                    <pic:cNvPicPr>
                      <a:picLocks noChangeAspect="1"/>
                    </pic:cNvPicPr>
                  </pic:nvPicPr>
                  <pic:blipFill>
                    <a:blip r:embed="rId4"/>
                    <a:srcRect l="3765" t="17325" r="51931" b="11360"/>
                    <a:stretch>
                      <a:fillRect/>
                    </a:stretch>
                  </pic:blipFill>
                  <pic:spPr>
                    <a:xfrm>
                      <a:off x="0" y="0"/>
                      <a:ext cx="394843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图：TPO论坛上亮相的少数民族徽章</w:t>
      </w:r>
    </w:p>
    <w:p>
      <w:pPr>
        <w:jc w:val="left"/>
        <w:rPr>
          <w:rFonts w:ascii="仿宋" w:hAnsi="仿宋" w:eastAsia="仿宋" w:cs="仿宋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伴手礼中的图纹寓意（由左到右）：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大力神：大力神代表着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"https://baike.baidu.com/item/%E9%BB%8E%E6%97%8F/163427?fromModule=lemma_inlink" \t "https://baike.baidu.com/item/%E5%A4%A7%E5%8A%9B%E7%A5%9E/_blank" </w:instrTex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黎族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神话故事里的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"https://baike.baidu.com/item/%E5%88%9B%E4%B8%96%E7%A5%9E/5479952?fromModule=lemma_inlink" \t "https://baike.baidu.com/item/%E5%A4%A7%E5%8A%9B%E7%A5%9E/_blank" </w:instrTex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创世神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，流传于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instrText xml:space="preserve"> HYPERLINK "https://baike.baidu.com/item/%E4%B8%89%E4%BA%9A/181843?fromModule=lemma_inlink" \t "https://baike.baidu.com/item/%E5%A4%A7%E5%8A%9B%E7%A5%9E/_blank" </w:instrTex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三亚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等县市的黎族聚居区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甘工鸟：黎族神话中的祥瑞精灵，以其绚丽的姿态和传奇的故事，在三亚的民族记忆中留下永恒的印记。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蛙纹：蛙纹造型承载着黎族千年的文化内涵，寄托了黎族人民希望民族繁荣,昌盛的美好愿望。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鹿回头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风景区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：是一座屹立于南海之畔的魅力圣境，于山海间绽放着令人沉醉的光辉，诉说着千年的爱情传说。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天涯海角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游览区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：以形态各异的巨石、悠久独特的历史文化和浪漫的爱情象征而闻名，其中“天涯”“海角”两块巨石是三亚标志性的景观之一。</w:t>
      </w:r>
    </w:p>
    <w:p>
      <w:pPr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海南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槟榔谷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黎苗文化旅游区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：以黎苗文化为特色，集自然风光、民俗风情、娱乐体验和文化展示为一体的旅游景点。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121285</wp:posOffset>
            </wp:positionV>
            <wp:extent cx="3956685" cy="2226945"/>
            <wp:effectExtent l="0" t="0" r="5715" b="1905"/>
            <wp:wrapTopAndBottom/>
            <wp:docPr id="2" name="图片 2" descr="196f2beaa38a8e0a66588ef293fd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6f2beaa38a8e0a66588ef293fd1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TPO论坛上亮相民族特色手提袋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手提袋同样独具匠心，上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印制着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三亚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少数民族寓意美好象征的图纹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和三亚地标性风景区图纹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，这些图纹仿佛在诉说着古老而神秘的故事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，它将少数民族的文化元素与现代时尚完美结合，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既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实用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美观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此外，伴手礼还包含了一系列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文创</w:t>
      </w:r>
      <w:r>
        <w:rPr>
          <w:rFonts w:hint="eastAsia" w:ascii="仿宋" w:hAnsi="仿宋" w:eastAsia="仿宋" w:cs="仿宋"/>
          <w:sz w:val="32"/>
          <w:szCs w:val="32"/>
        </w:rPr>
        <w:t>物品，从精美的手工艺品到黎苗文化特色小物件，无一不彰显着黎苗文化的独特魅力。三亚在传承黎苗传统文化的基础上，积极引入现代设计理念和创新元素，让古老的黎苗文化在新时代焕发出新的活力。并通过与旅游产业的深度结合，开发出众多具有黎苗特色的文创产品，不仅丰富了游客的旅游体验，也为黎苗文化的传播搭建了更广阔的平台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bookmarkStart w:id="1" w:name="_GoBack"/>
      <w:bookmarkEnd w:id="1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6AB82FDA"/>
    <w:rsid w:val="0822685D"/>
    <w:rsid w:val="12F901BB"/>
    <w:rsid w:val="1DCC2AD9"/>
    <w:rsid w:val="216058A9"/>
    <w:rsid w:val="246D6C5B"/>
    <w:rsid w:val="2AA41122"/>
    <w:rsid w:val="3F7D0CD2"/>
    <w:rsid w:val="608979DA"/>
    <w:rsid w:val="61241729"/>
    <w:rsid w:val="65205C96"/>
    <w:rsid w:val="6AB82FDA"/>
    <w:rsid w:val="6B0D6A48"/>
    <w:rsid w:val="77894387"/>
    <w:rsid w:val="7D4B753D"/>
    <w:rsid w:val="7D6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864</Characters>
  <Lines>0</Lines>
  <Paragraphs>0</Paragraphs>
  <TotalTime>14</TotalTime>
  <ScaleCrop>false</ScaleCrop>
  <LinksUpToDate>false</LinksUpToDate>
  <CharactersWithSpaces>868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2024-08-24T03:36:00Z</dcterms:created>
  <dc:creator>兔子先生</dc:creator>
  <cp:lastModifiedBy>WPS_1642749012</cp:lastModifiedBy>
  <dcterms:modified xsi:type="dcterms:W3CDTF">2024-08-27T04:09:18Z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1799A87FB37E4F1DA39F75B00A91375D_13</vt:lpwstr>
  </property>
</Properties>
</file>